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trHeight w:val="720" w:hRule="atLeast"/>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the Call-Off Schedule 5 (Pricing Details) or an Equipment Order;</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Framework Schedule 1 - Specification and ordered by the Buyer as may be supplemented in the Call-Off Contract or in an Equipment Order;</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trHeight w:val="800" w:hRule="atLeast"/>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Call-Off Schedule 22;</w:t>
            </w:r>
          </w:p>
        </w:tc>
      </w:tr>
      <w:tr>
        <w:trPr>
          <w:trHeight w:val="800" w:hRule="atLeast"/>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trHeight w:val="800" w:hRule="atLeast"/>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trHeight w:val="800" w:hRule="atLeast"/>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trHeight w:val="800" w:hRule="atLeast"/>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Call-Off Contract or, if lower, 50% of the Rentals that would have been payable under the Lease Terms but for the termination; and</w:t>
            </w:r>
          </w:p>
        </w:tc>
      </w:tr>
      <w:t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2"/>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2"/>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4"/>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4"/>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5"/>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5"/>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5"/>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1"/>
        </w:numPr>
        <w:ind w:left="540" w:hanging="54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Call-Off Contract and the requirements notified to the Supplier in the Equipment Order.</w:t>
      </w:r>
    </w:p>
    <w:p w:rsidR="00000000" w:rsidDel="00000000" w:rsidP="00000000" w:rsidRDefault="00000000" w:rsidRPr="00000000" w14:paraId="0000004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1"/>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1"/>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1"/>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1"/>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1"/>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1"/>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1"/>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1"/>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1"/>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1"/>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1"/>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1"/>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1"/>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1"/>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1"/>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1"/>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1"/>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1"/>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1"/>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1"/>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1"/>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1"/>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1"/>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1"/>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1"/>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c>
          <w:tcPr>
            <w:vMerge w:val="continue"/>
            <w:shd w:fill="c2d69b" w:val="clear"/>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1"/>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1"/>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1"/>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1"/>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RM6194</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w:t>
    </w:r>
    <w:r w:rsidDel="00000000" w:rsidR="00000000" w:rsidRPr="00000000">
      <w:rPr>
        <w:rFonts w:ascii="Arial" w:cs="Arial" w:eastAsia="Arial" w:hAnsi="Arial"/>
        <w:sz w:val="20"/>
        <w:szCs w:val="20"/>
        <w:rtl w:val="0"/>
      </w:rPr>
      <w:t xml:space="preserve">1</w:t>
    </w:r>
    <w:r w:rsidDel="00000000" w:rsidR="00000000" w:rsidRPr="00000000">
      <w:rPr>
        <w:rtl w:val="0"/>
      </w:rPr>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keepNext w:val="0"/>
      <w:keepLines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22 (Lease Terms)</w:t>
    </w: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3">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LZO2lOvlc7gz/WSs8hqpEQOGZg==">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2019-06-25T22:38:00Z</dcterms:created>
  <dc:creator>David Tinkler</dc:creator>
</cp:coreProperties>
</file>